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C4C" w:rsidRDefault="00460C4C" w:rsidP="00460C4C">
      <w:pPr>
        <w:widowControl w:val="0"/>
        <w:tabs>
          <w:tab w:val="left" w:pos="300"/>
        </w:tabs>
        <w:autoSpaceDE w:val="0"/>
        <w:autoSpaceDN w:val="0"/>
        <w:adjustRightInd w:val="0"/>
        <w:spacing w:after="300"/>
        <w:ind w:left="300"/>
        <w:jc w:val="right"/>
        <w:rPr>
          <w:rFonts w:ascii="Verdana , DejaVuSansCondensed ," w:hAnsi="Verdana , DejaVuSansCondensed ," w:cs="Verdana , DejaVuSansCondensed ,"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b/>
          <w:bCs/>
          <w:sz w:val="19"/>
          <w:szCs w:val="19"/>
          <w:u w:val="single"/>
        </w:rPr>
        <w:t>Anlage 2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 xml:space="preserve"> 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br/>
        <w:t>(zu § 22 Abs. 1 EigBetrVO)</w:t>
      </w:r>
    </w:p>
    <w:p w:rsidR="00460C4C" w:rsidRDefault="00460C4C" w:rsidP="00460C4C">
      <w:pPr>
        <w:widowControl w:val="0"/>
        <w:tabs>
          <w:tab w:val="left" w:pos="300"/>
        </w:tabs>
        <w:autoSpaceDE w:val="0"/>
        <w:autoSpaceDN w:val="0"/>
        <w:adjustRightInd w:val="0"/>
        <w:ind w:left="300"/>
        <w:jc w:val="center"/>
        <w:rPr>
          <w:rFonts w:ascii="Verdana , DejaVuSansCondensed ," w:hAnsi="Verdana , DejaVuSansCondensed ," w:cs="Verdana , DejaVuSansCondensed ,"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b/>
          <w:bCs/>
          <w:sz w:val="19"/>
          <w:szCs w:val="19"/>
        </w:rPr>
        <w:t>Gewinn- und Verlustrechnung</w:t>
      </w:r>
      <w:r>
        <w:rPr>
          <w:rFonts w:ascii="Verdana , DejaVuSansCondensed ," w:hAnsi="Verdana , DejaVuSansCondensed ," w:cs="Verdana , DejaVuSansCondensed ,"/>
          <w:sz w:val="20"/>
          <w:szCs w:val="20"/>
          <w:vertAlign w:val="superscript"/>
        </w:rPr>
        <w:t>1</w:t>
      </w:r>
      <w:r w:rsidRPr="008C43F7">
        <w:rPr>
          <w:rFonts w:ascii="Verdana , DejaVuSansCondensed ," w:hAnsi="Verdana , DejaVuSansCondensed ," w:cs="Verdana , DejaVuSansCondensed ,"/>
          <w:sz w:val="20"/>
          <w:szCs w:val="20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"/>
        <w:gridCol w:w="5235"/>
        <w:gridCol w:w="15"/>
        <w:gridCol w:w="2215"/>
        <w:gridCol w:w="15"/>
        <w:gridCol w:w="2215"/>
        <w:gridCol w:w="15"/>
        <w:gridCol w:w="2215"/>
        <w:gridCol w:w="15"/>
      </w:tblGrid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1.  Umsatzerlöse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2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2.  Erhöhung oder Verminderung des Bestands an fertigen und unfertigen Erzeugnissen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3.  Andere aktivierte Eigenleistungen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4.  Sonstige betriebliche Erträge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69"/>
              </w:tabs>
              <w:autoSpaceDE w:val="0"/>
              <w:autoSpaceDN w:val="0"/>
              <w:adjustRightInd w:val="0"/>
              <w:spacing w:before="40"/>
              <w:ind w:left="269" w:hanging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Auflösungen von Sonderposten mit Rücklageanteil .................................................................................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5.  Materialaufwand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552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a)  Aufwendungen für Roh-, Hilfs- und Betriebsstoffe und für bezogene Waren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3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b)  Aufwendungen für bezogene Leistungen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6.  Personalaufwand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a)  Löhne und Gehälter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4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b)  soziale Abgaben und Aufwendungen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5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für Altersversorgung und für Unterstützung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4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5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für Altersversorgung ......................................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7.  Abschreibungen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8336D9" w:rsidTr="008336D9">
        <w:trPr>
          <w:gridAfter w:val="1"/>
          <w:wAfter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autoSpaceDE w:val="0"/>
              <w:autoSpaceDN w:val="0"/>
              <w:adjustRightInd w:val="0"/>
              <w:spacing w:before="40"/>
              <w:ind w:left="552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a)  auf immaterielle Vermögensgegenstände des Anlagevermögens und Sachanlagen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8336D9" w:rsidTr="008336D9">
        <w:trPr>
          <w:gridAfter w:val="1"/>
          <w:wAfter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405DC3">
            <w:pPr>
              <w:widowControl w:val="0"/>
              <w:autoSpaceDE w:val="0"/>
              <w:autoSpaceDN w:val="0"/>
              <w:adjustRightInd w:val="0"/>
              <w:spacing w:before="40"/>
              <w:ind w:left="5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davon nach § 253 Abs. 3 Satz </w:t>
            </w:r>
            <w:r w:rsidR="00405DC3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5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HGB 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336D9" w:rsidRDefault="008336D9" w:rsidP="006B313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552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b)  auf Vermögensgegenstände des Umlaufvermögens, soweit diese die im Unternehmen üblichen Abschreibungen überschreiten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8.  Sonstige betriebliche Aufwendungen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5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269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Zuführungen zu Sonderposten mit Rücklageanteil .................................................................................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9.  Erträge aus Beteiligungen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aus verbundenen Unternehmen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411"/>
              </w:tabs>
              <w:autoSpaceDE w:val="0"/>
              <w:autoSpaceDN w:val="0"/>
              <w:adjustRightInd w:val="0"/>
              <w:spacing w:before="40"/>
              <w:ind w:left="411" w:hanging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lastRenderedPageBreak/>
              <w:t>10.  Erträge aus anderen Wertpapieren und Ausleihungen des Finanzanlagevermögens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aus verbundenen Unternehmen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11.  Sonstige Zinsen und ähnliche Erträge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aus verbundenen Unternehmen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411"/>
              </w:tabs>
              <w:autoSpaceDE w:val="0"/>
              <w:autoSpaceDN w:val="0"/>
              <w:adjustRightInd w:val="0"/>
              <w:spacing w:before="40"/>
              <w:ind w:left="411" w:hanging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12.  Abschreibungen auf Finanzanlagen und auf Wertpapiere des Umlaufvermögens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13.  Zinsen und ähnliche Aufwendungen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autoSpaceDE w:val="0"/>
              <w:autoSpaceDN w:val="0"/>
              <w:adjustRightInd w:val="0"/>
              <w:spacing w:before="40"/>
              <w:ind w:left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davon an verbundene Unternehmen</w:t>
            </w:r>
            <w:r>
              <w:rPr>
                <w:rFonts w:ascii="Verdana , DejaVuSansCondensed ," w:hAnsi="Verdana , DejaVuSansCondensed ," w:cs="Verdana , DejaVuSansCondensed ,"/>
                <w:sz w:val="20"/>
                <w:szCs w:val="20"/>
                <w:vertAlign w:val="superscript"/>
              </w:rPr>
              <w:t>6</w:t>
            </w:r>
            <w:r w:rsidRPr="008C43F7">
              <w:rPr>
                <w:rFonts w:ascii="Verdana , DejaVuSansCondensed ," w:hAnsi="Verdana , DejaVuSansCondensed ," w:cs="Verdana , DejaVuSansCondensed ,"/>
                <w:sz w:val="20"/>
                <w:szCs w:val="20"/>
              </w:rPr>
              <w:t>)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3D415C" w:rsidP="00670C8E">
            <w:pPr>
              <w:widowControl w:val="0"/>
              <w:tabs>
                <w:tab w:val="left" w:pos="411"/>
              </w:tabs>
              <w:autoSpaceDE w:val="0"/>
              <w:autoSpaceDN w:val="0"/>
              <w:adjustRightInd w:val="0"/>
              <w:spacing w:before="40"/>
              <w:ind w:left="411" w:hanging="411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14</w:t>
            </w:r>
            <w:r w:rsidR="00460C4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 Erträge aus Gewinngemeinschaften, Gewinnabführungs- und Teilgewinnabführungsverträgen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3D415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15</w:t>
            </w:r>
            <w:r w:rsidR="00460C4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 Aufwendungen aus Verlustübernahme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9E4979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E4979" w:rsidRDefault="009E4979" w:rsidP="00523F1D">
            <w:pPr>
              <w:widowControl w:val="0"/>
              <w:tabs>
                <w:tab w:val="left" w:pos="396"/>
              </w:tabs>
              <w:autoSpaceDE w:val="0"/>
              <w:autoSpaceDN w:val="0"/>
              <w:adjustRightInd w:val="0"/>
              <w:spacing w:before="40"/>
              <w:ind w:left="396" w:hanging="396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16.  Steuern vom Einkommen und vom Ertrag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E4979" w:rsidRDefault="009E4979" w:rsidP="004E530F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E4979" w:rsidRDefault="009E4979" w:rsidP="004E530F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E4979" w:rsidRDefault="009E4979" w:rsidP="004E530F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9E4979" w:rsidP="009E4979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17</w:t>
            </w:r>
            <w:r w:rsidR="00460C4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.  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Ergebnis nach </w:t>
            </w:r>
            <w:r w:rsidR="00460C4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Steuern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8336D9"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</w:t>
            </w:r>
            <w:r w:rsidR="003D415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8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 Sonstige Steuern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</w:tr>
      <w:tr w:rsidR="00460C4C" w:rsidTr="008336D9">
        <w:tblPrEx>
          <w:tblCellMar>
            <w:bottom w:w="300" w:type="dxa"/>
          </w:tblCellMar>
        </w:tblPrEx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3D415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19</w:t>
            </w:r>
            <w:r w:rsidR="00460C4C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  Jahresüberschuss/Jahresfehlbetrag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30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  <w:t>....................................</w:t>
            </w:r>
          </w:p>
        </w:tc>
      </w:tr>
      <w:tr w:rsidR="00460C4C" w:rsidTr="008336D9">
        <w:tblPrEx>
          <w:tblCellMar>
            <w:bottom w:w="300" w:type="dxa"/>
          </w:tblCellMar>
        </w:tblPrEx>
        <w:trPr>
          <w:gridBefore w:val="1"/>
          <w:wBefore w:w="15" w:type="dxa"/>
        </w:trPr>
        <w:tc>
          <w:tcPr>
            <w:tcW w:w="5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2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 w:after="300"/>
              <w:rPr>
                <w:rFonts w:ascii="Verdana , DejaVuSansCondensed ," w:hAnsi="Verdana , DejaVuSansCondensed ," w:cs="Verdana , DejaVuSansCondensed ,"/>
                <w:sz w:val="19"/>
                <w:szCs w:val="19"/>
                <w:u w:val="single"/>
              </w:rPr>
            </w:pPr>
          </w:p>
        </w:tc>
      </w:tr>
    </w:tbl>
    <w:p w:rsidR="00460C4C" w:rsidRDefault="00460C4C" w:rsidP="00460C4C">
      <w:pPr>
        <w:widowControl w:val="0"/>
        <w:tabs>
          <w:tab w:val="left" w:pos="0"/>
        </w:tabs>
        <w:autoSpaceDE w:val="0"/>
        <w:autoSpaceDN w:val="0"/>
        <w:adjustRightInd w:val="0"/>
        <w:spacing w:before="40" w:after="40"/>
        <w:rPr>
          <w:rFonts w:ascii="Verdana , DejaVuSansCondensed ," w:hAnsi="Verdana , DejaVuSansCondensed ," w:cs="Verdana , DejaVuSansCondensed ,"/>
          <w:sz w:val="19"/>
          <w:szCs w:val="19"/>
        </w:rPr>
      </w:pPr>
      <w:r>
        <w:rPr>
          <w:rFonts w:ascii="Verdana , DejaVuSansCondensed ," w:hAnsi="Verdana , DejaVuSansCondensed ," w:cs="Verdana , DejaVuSansCondensed ,"/>
          <w:sz w:val="19"/>
          <w:szCs w:val="19"/>
        </w:rPr>
        <w:t>Nachrichtlich</w:t>
      </w:r>
    </w:p>
    <w:tbl>
      <w:tblPr>
        <w:tblW w:w="0" w:type="auto"/>
        <w:tblInd w:w="3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3"/>
        <w:gridCol w:w="2230"/>
        <w:gridCol w:w="1647"/>
        <w:gridCol w:w="2230"/>
      </w:tblGrid>
      <w:tr w:rsidR="00460C4C" w:rsidTr="00670C8E"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Verwendung des Jahresüberschusses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jc w:val="center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Ausgleich des  Jahresfehlbetrages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  <w:tr w:rsidR="00460C4C" w:rsidTr="00670C8E"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before="40"/>
              <w:ind w:left="252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a) Tilgung des Verlustvortrages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306"/>
              </w:tabs>
              <w:autoSpaceDE w:val="0"/>
              <w:autoSpaceDN w:val="0"/>
              <w:adjustRightInd w:val="0"/>
              <w:spacing w:before="40"/>
              <w:ind w:left="306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a)  Tilgung aus dem Gewinn-vortrag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670C8E"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before="40"/>
              <w:ind w:left="252" w:hanging="2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b) Einstellung in   die Rücklagen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405DC3">
            <w:pPr>
              <w:widowControl w:val="0"/>
              <w:tabs>
                <w:tab w:val="left" w:pos="306"/>
              </w:tabs>
              <w:autoSpaceDE w:val="0"/>
              <w:autoSpaceDN w:val="0"/>
              <w:adjustRightInd w:val="0"/>
              <w:spacing w:before="40"/>
              <w:ind w:left="306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b)  Ausgleich aus dem Haushalt der </w:t>
            </w:r>
            <w:r w:rsidR="00405DC3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Kommune</w:t>
            </w:r>
            <w:bookmarkStart w:id="0" w:name="_GoBack"/>
            <w:bookmarkEnd w:id="0"/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 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670C8E"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405DC3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before="40"/>
              <w:ind w:left="252" w:hanging="2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c)</w:t>
            </w:r>
            <w:r w:rsidRPr="00695BF3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  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 xml:space="preserve">Abführung an den Haushalt der </w:t>
            </w:r>
            <w:r w:rsidR="00405DC3"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Kommune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306"/>
              </w:tabs>
              <w:autoSpaceDE w:val="0"/>
              <w:autoSpaceDN w:val="0"/>
              <w:adjustRightInd w:val="0"/>
              <w:spacing w:before="40"/>
              <w:ind w:left="306" w:hanging="283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c)  Vortrag auf neue Rechnung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</w:tr>
      <w:tr w:rsidR="00460C4C" w:rsidTr="00670C8E">
        <w:tblPrEx>
          <w:tblCellMar>
            <w:bottom w:w="300" w:type="dxa"/>
          </w:tblCellMar>
        </w:tblPrEx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252"/>
              </w:tabs>
              <w:autoSpaceDE w:val="0"/>
              <w:autoSpaceDN w:val="0"/>
              <w:adjustRightInd w:val="0"/>
              <w:spacing w:before="40"/>
              <w:ind w:left="252" w:hanging="252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d)</w:t>
            </w:r>
            <w:r w:rsidRPr="00695BF3">
              <w:rPr>
                <w:rFonts w:ascii="Verdana , DejaVuSansCondensed ," w:hAnsi="Verdana , DejaVuSansCondensed ," w:cs="Verdana , DejaVuSansCondensed ,"/>
                <w:sz w:val="12"/>
                <w:szCs w:val="12"/>
              </w:rPr>
              <w:t xml:space="preserve">  </w:t>
            </w: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Vortrag auf neue Rechnung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....................................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60C4C" w:rsidRDefault="00460C4C" w:rsidP="00670C8E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40"/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</w:pPr>
            <w:r>
              <w:rPr>
                <w:rFonts w:ascii="Verdana , DejaVuSansCondensed ," w:hAnsi="Verdana , DejaVuSansCondensed ," w:cs="Verdana , DejaVuSansCondensed ,"/>
                <w:sz w:val="19"/>
                <w:szCs w:val="19"/>
              </w:rPr>
              <w:t> </w:t>
            </w:r>
          </w:p>
        </w:tc>
      </w:tr>
    </w:tbl>
    <w:p w:rsidR="00460C4C" w:rsidRDefault="00460C4C" w:rsidP="00460C4C">
      <w:pPr>
        <w:widowControl w:val="0"/>
        <w:tabs>
          <w:tab w:val="left" w:pos="300"/>
        </w:tabs>
        <w:autoSpaceDE w:val="0"/>
        <w:autoSpaceDN w:val="0"/>
        <w:adjustRightInd w:val="0"/>
        <w:spacing w:before="40"/>
        <w:ind w:left="300"/>
      </w:pPr>
      <w:r>
        <w:t> 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1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Sofern der Gegenstand des Unternehmens eine abweichende Gliederung erfordert, muss diese gleichwertig sein. Eine weitere Gliederung ist zulässig.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2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Einschließlich Auflösung der passivierten Ertragszuschüsse.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3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Materiallieferungen und Fremdleistungen für Anlagenzugänge sind unmittelbar zu aktivieren, soweit nicht abrechnungstechnische Gründe entgegenstehen.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4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Einschließlich aktivierter Beträge.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5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Einschließlich Konzessions- und Wegeentgelte.</w:t>
      </w:r>
    </w:p>
    <w:p w:rsidR="00460C4C" w:rsidRDefault="00460C4C" w:rsidP="00460C4C">
      <w:pPr>
        <w:widowControl w:val="0"/>
        <w:tabs>
          <w:tab w:val="left" w:pos="567"/>
        </w:tabs>
        <w:autoSpaceDE w:val="0"/>
        <w:autoSpaceDN w:val="0"/>
        <w:adjustRightInd w:val="0"/>
        <w:spacing w:before="40"/>
        <w:ind w:left="567" w:hanging="284"/>
        <w:rPr>
          <w:rFonts w:ascii="Verdana , DejaVuSansCondensed ," w:hAnsi="Verdana , DejaVuSansCondensed ," w:cs="Verdana , DejaVuSansCondensed ,"/>
          <w:sz w:val="19"/>
          <w:szCs w:val="19"/>
        </w:rPr>
      </w:pPr>
      <w:r w:rsidRPr="00E82E46">
        <w:rPr>
          <w:rFonts w:ascii="Verdana , DejaVuSansCondensed ," w:hAnsi="Verdana , DejaVuSansCondensed ," w:cs="Verdana , DejaVuSansCondensed ,"/>
          <w:sz w:val="19"/>
          <w:szCs w:val="19"/>
          <w:vertAlign w:val="superscript"/>
        </w:rPr>
        <w:t>6</w:t>
      </w:r>
      <w:r>
        <w:rPr>
          <w:rFonts w:ascii="Verdana , DejaVuSansCondensed ," w:hAnsi="Verdana , DejaVuSansCondensed ," w:cs="Verdana , DejaVuSansCondensed ,"/>
          <w:sz w:val="19"/>
          <w:szCs w:val="19"/>
        </w:rPr>
        <w:t>)  Die Begriffsbestimmung des § 15 des Aktiengesetzes findet sinngemäß Anwendung.</w:t>
      </w:r>
    </w:p>
    <w:p w:rsidR="00460C4C" w:rsidRDefault="00460C4C" w:rsidP="00460C4C">
      <w:pPr>
        <w:widowControl w:val="0"/>
        <w:tabs>
          <w:tab w:val="left" w:pos="851"/>
        </w:tabs>
        <w:autoSpaceDE w:val="0"/>
        <w:autoSpaceDN w:val="0"/>
        <w:adjustRightInd w:val="0"/>
        <w:spacing w:before="40"/>
        <w:ind w:left="851" w:hanging="284"/>
        <w:rPr>
          <w:rFonts w:ascii="Verdana , DejaVuSansCondensed ," w:hAnsi="Verdana , DejaVuSansCondensed ," w:cs="Verdana , DejaVuSansCondensed ,"/>
          <w:sz w:val="19"/>
          <w:szCs w:val="19"/>
        </w:rPr>
      </w:pPr>
    </w:p>
    <w:p w:rsidR="001D69AF" w:rsidRDefault="001D69AF"/>
    <w:sectPr w:rsidR="001D69AF" w:rsidSect="00A22DD2">
      <w:headerReference w:type="even" r:id="rId6"/>
      <w:pgSz w:w="16838" w:h="11906" w:orient="landscape"/>
      <w:pgMar w:top="1418" w:right="1134" w:bottom="1418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04A5" w:rsidRDefault="00D604A5">
      <w:r>
        <w:separator/>
      </w:r>
    </w:p>
  </w:endnote>
  <w:endnote w:type="continuationSeparator" w:id="0">
    <w:p w:rsidR="00D604A5" w:rsidRDefault="00D6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, DejaVuSansCondensed ,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04A5" w:rsidRDefault="00D604A5">
      <w:r>
        <w:separator/>
      </w:r>
    </w:p>
  </w:footnote>
  <w:footnote w:type="continuationSeparator" w:id="0">
    <w:p w:rsidR="00D604A5" w:rsidRDefault="00D60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E46" w:rsidRDefault="00025D24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E82E46" w:rsidRDefault="00405DC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6A2"/>
    <w:rsid w:val="00025D24"/>
    <w:rsid w:val="00121812"/>
    <w:rsid w:val="00136130"/>
    <w:rsid w:val="001C174F"/>
    <w:rsid w:val="001D69AF"/>
    <w:rsid w:val="003A66A2"/>
    <w:rsid w:val="003D415C"/>
    <w:rsid w:val="00405DC3"/>
    <w:rsid w:val="00447A56"/>
    <w:rsid w:val="00460C4C"/>
    <w:rsid w:val="00523F1D"/>
    <w:rsid w:val="006145B5"/>
    <w:rsid w:val="006A608C"/>
    <w:rsid w:val="00766F08"/>
    <w:rsid w:val="0081370E"/>
    <w:rsid w:val="008336D9"/>
    <w:rsid w:val="009E4979"/>
    <w:rsid w:val="00B8191D"/>
    <w:rsid w:val="00B956DA"/>
    <w:rsid w:val="00C77227"/>
    <w:rsid w:val="00CB4D43"/>
    <w:rsid w:val="00D604A5"/>
    <w:rsid w:val="00DC059A"/>
    <w:rsid w:val="00DE2BA1"/>
    <w:rsid w:val="00F526A2"/>
    <w:rsid w:val="00F5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B3A537-AA26-45CF-832B-60281FD9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60C4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rFonts w:ascii="Arial" w:hAnsi="Arial"/>
      <w:sz w:val="22"/>
      <w:szCs w:val="20"/>
    </w:rPr>
  </w:style>
  <w:style w:type="character" w:styleId="Seitenzahl">
    <w:name w:val="page number"/>
    <w:basedOn w:val="Absatz-Standardschriftart"/>
    <w:rsid w:val="00460C4C"/>
  </w:style>
  <w:style w:type="paragraph" w:styleId="Sprechblasentext">
    <w:name w:val="Balloon Text"/>
    <w:basedOn w:val="Standard"/>
    <w:link w:val="SprechblasentextZchn"/>
    <w:rsid w:val="00460C4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460C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CD54E6C7.dotm</Template>
  <TotalTime>0</TotalTime>
  <Pages>3</Pages>
  <Words>344</Words>
  <Characters>4052</Characters>
  <Application>Microsoft Office Word</Application>
  <DocSecurity>0</DocSecurity>
  <Lines>33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Niedersachsen</Company>
  <LinksUpToDate>false</LinksUpToDate>
  <CharactersWithSpaces>4388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Mehlich, Reinhard (MI)</dc:creator>
  <cp:keywords/>
  <dc:description/>
  <cp:lastModifiedBy>Schmoling, Andrea (MI)</cp:lastModifiedBy>
  <cp:revision>3</cp:revision>
  <cp:lastPrinted>2018-04-18T14:50:00Z</cp:lastPrinted>
  <dcterms:created xsi:type="dcterms:W3CDTF">2018-07-27T10:00:00Z</dcterms:created>
  <dcterms:modified xsi:type="dcterms:W3CDTF">2018-07-27T10:01:00Z</dcterms:modified>
</cp:coreProperties>
</file>